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宋体"/>
          <w:b/>
          <w:bCs/>
          <w:color w:val="000000"/>
          <w:spacing w:val="15"/>
          <w:kern w:val="0"/>
          <w:sz w:val="36"/>
          <w:szCs w:val="28"/>
        </w:rPr>
      </w:pPr>
      <w:bookmarkStart w:id="0" w:name="_GoBack"/>
      <w:r>
        <w:rPr>
          <w:rFonts w:hint="eastAsia" w:ascii="黑体" w:hAnsi="黑体" w:eastAsia="黑体" w:cs="宋体"/>
          <w:b/>
          <w:bCs/>
          <w:color w:val="000000"/>
          <w:spacing w:val="15"/>
          <w:kern w:val="0"/>
          <w:sz w:val="36"/>
          <w:szCs w:val="28"/>
        </w:rPr>
        <w:t>外来承包商安全管理协议</w:t>
      </w:r>
    </w:p>
    <w:bookmarkEnd w:id="0"/>
    <w:p>
      <w:pPr>
        <w:rPr>
          <w:rFonts w:ascii="黑体" w:hAnsi="黑体" w:eastAsia="黑体" w:cs="宋体"/>
          <w:bCs/>
          <w:color w:val="000000"/>
          <w:spacing w:val="15"/>
          <w:kern w:val="0"/>
          <w:sz w:val="28"/>
          <w:szCs w:val="28"/>
        </w:rPr>
      </w:pPr>
      <w:r>
        <w:rPr>
          <w:rFonts w:hint="eastAsia" w:ascii="宋体" w:hAnsi="宋体" w:eastAsia="宋体" w:cs="宋体"/>
          <w:bCs/>
          <w:color w:val="000000"/>
          <w:kern w:val="0"/>
          <w:sz w:val="28"/>
          <w:szCs w:val="28"/>
        </w:rPr>
        <w:t>项目名称</w:t>
      </w:r>
      <w:r>
        <w:rPr>
          <w:rFonts w:hint="eastAsia" w:ascii="宋体" w:hAnsi="宋体" w:eastAsia="宋体" w:cs="宋体"/>
          <w:color w:val="000000"/>
          <w:kern w:val="0"/>
          <w:sz w:val="28"/>
          <w:szCs w:val="28"/>
        </w:rPr>
        <w:t>：</w:t>
      </w:r>
    </w:p>
    <w:p>
      <w:pPr>
        <w:rPr>
          <w:rFonts w:ascii="宋体" w:hAnsi="宋体" w:eastAsia="宋体" w:cs="宋体"/>
          <w:bCs/>
          <w:color w:val="000000"/>
          <w:kern w:val="0"/>
          <w:sz w:val="28"/>
          <w:szCs w:val="28"/>
        </w:rPr>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cols w:space="425" w:num="1"/>
          <w:docGrid w:type="lines" w:linePitch="312" w:charSpace="0"/>
        </w:sectPr>
      </w:pPr>
    </w:p>
    <w:p>
      <w:pPr>
        <w:rPr>
          <w:rFonts w:ascii="宋体" w:hAnsi="宋体" w:eastAsia="宋体" w:cs="宋体"/>
          <w:color w:val="000000"/>
          <w:spacing w:val="-39"/>
          <w:kern w:val="0"/>
          <w:sz w:val="28"/>
          <w:szCs w:val="28"/>
        </w:rPr>
      </w:pPr>
      <w:r>
        <w:rPr>
          <w:rFonts w:hint="eastAsia" w:ascii="宋体" w:hAnsi="宋体" w:eastAsia="宋体" w:cs="宋体"/>
          <w:bCs/>
          <w:color w:val="000000"/>
          <w:kern w:val="0"/>
          <w:sz w:val="28"/>
          <w:szCs w:val="28"/>
        </w:rPr>
        <w:t>甲方：</w:t>
      </w:r>
      <w:r>
        <w:rPr>
          <w:rFonts w:hint="eastAsia" w:ascii="宋体" w:hAnsi="宋体" w:eastAsia="宋体" w:cs="宋体"/>
          <w:color w:val="000000"/>
          <w:spacing w:val="-39"/>
          <w:kern w:val="0"/>
          <w:sz w:val="28"/>
          <w:szCs w:val="28"/>
        </w:rPr>
        <w:t> </w:t>
      </w:r>
    </w:p>
    <w:p>
      <w:pPr>
        <w:rPr>
          <w:rFonts w:ascii="宋体" w:hAnsi="宋体" w:eastAsia="宋体" w:cs="宋体"/>
          <w:bCs/>
          <w:color w:val="000000"/>
          <w:kern w:val="0"/>
          <w:sz w:val="28"/>
          <w:szCs w:val="28"/>
        </w:rPr>
      </w:pPr>
      <w:r>
        <w:rPr>
          <w:rFonts w:hint="eastAsia" w:ascii="宋体" w:hAnsi="宋体" w:eastAsia="宋体" w:cs="宋体"/>
          <w:bCs/>
          <w:color w:val="000000"/>
          <w:kern w:val="0"/>
          <w:sz w:val="28"/>
          <w:szCs w:val="28"/>
        </w:rPr>
        <w:t>联系电话：</w:t>
      </w:r>
    </w:p>
    <w:p>
      <w:pPr>
        <w:rPr>
          <w:rFonts w:ascii="宋体" w:hAnsi="宋体" w:eastAsia="宋体" w:cs="宋体"/>
          <w:color w:val="000000"/>
          <w:kern w:val="0"/>
          <w:sz w:val="28"/>
          <w:szCs w:val="28"/>
        </w:rPr>
      </w:pPr>
      <w:r>
        <w:rPr>
          <w:rFonts w:hint="eastAsia" w:ascii="宋体" w:hAnsi="宋体" w:eastAsia="宋体" w:cs="宋体"/>
          <w:bCs/>
          <w:color w:val="000000"/>
          <w:kern w:val="0"/>
          <w:sz w:val="28"/>
          <w:szCs w:val="28"/>
        </w:rPr>
        <w:t>乙方</w:t>
      </w:r>
      <w:r>
        <w:rPr>
          <w:rFonts w:hint="eastAsia" w:ascii="宋体" w:hAnsi="宋体" w:eastAsia="宋体" w:cs="宋体"/>
          <w:color w:val="000000"/>
          <w:kern w:val="0"/>
          <w:sz w:val="28"/>
          <w:szCs w:val="28"/>
        </w:rPr>
        <w:t>：</w:t>
      </w:r>
    </w:p>
    <w:p>
      <w:pPr>
        <w:rPr>
          <w:rFonts w:ascii="宋体" w:hAnsi="宋体" w:eastAsia="宋体" w:cs="宋体"/>
          <w:color w:val="000000"/>
          <w:spacing w:val="63"/>
          <w:kern w:val="0"/>
          <w:sz w:val="28"/>
          <w:szCs w:val="28"/>
        </w:rPr>
      </w:pPr>
      <w:r>
        <w:rPr>
          <w:rFonts w:hint="eastAsia" w:ascii="宋体" w:hAnsi="宋体" w:eastAsia="宋体" w:cs="宋体"/>
          <w:bCs/>
          <w:color w:val="000000"/>
          <w:kern w:val="0"/>
          <w:sz w:val="28"/>
          <w:szCs w:val="28"/>
        </w:rPr>
        <w:t>联系电话</w:t>
      </w:r>
      <w:r>
        <w:rPr>
          <w:rFonts w:hint="eastAsia" w:ascii="宋体" w:hAnsi="宋体" w:eastAsia="宋体" w:cs="宋体"/>
          <w:color w:val="000000"/>
          <w:kern w:val="0"/>
          <w:sz w:val="28"/>
          <w:szCs w:val="28"/>
        </w:rPr>
        <w:t>：</w:t>
      </w:r>
    </w:p>
    <w:p>
      <w:pPr>
        <w:pStyle w:val="8"/>
        <w:ind w:firstLine="420" w:firstLineChars="200"/>
        <w:sectPr>
          <w:type w:val="continuous"/>
          <w:pgSz w:w="11906" w:h="16838"/>
          <w:pgMar w:top="1440" w:right="1800" w:bottom="1440" w:left="1800" w:header="851" w:footer="992" w:gutter="0"/>
          <w:cols w:space="425" w:num="2"/>
          <w:docGrid w:type="lines" w:linePitch="312" w:charSpace="0"/>
        </w:sectPr>
      </w:pPr>
    </w:p>
    <w:p>
      <w:pPr>
        <w:pStyle w:val="8"/>
        <w:spacing w:line="360" w:lineRule="auto"/>
        <w:ind w:firstLine="420" w:firstLineChars="200"/>
        <w:rPr>
          <w:szCs w:val="21"/>
        </w:rPr>
      </w:pPr>
      <w:r>
        <w:rPr>
          <w:rFonts w:hint="eastAsia"/>
          <w:szCs w:val="21"/>
        </w:rPr>
        <w:t>为维护甲乙双方的共同利益，保证服务质量和安全生产，保持良好的工作秩序，根据《中华人民共和国安全生产法》及甲方管理要求，经甲乙双方平等协商，签订本安全协议作为双方合同履约之安全补充，以资共同遵守。</w:t>
      </w:r>
    </w:p>
    <w:p>
      <w:pPr>
        <w:pStyle w:val="8"/>
        <w:spacing w:line="360" w:lineRule="auto"/>
        <w:rPr>
          <w:szCs w:val="21"/>
        </w:rPr>
      </w:pPr>
      <w:r>
        <w:rPr>
          <w:szCs w:val="21"/>
        </w:rPr>
        <w:t> </w:t>
      </w:r>
    </w:p>
    <w:p>
      <w:pPr>
        <w:pStyle w:val="8"/>
        <w:spacing w:line="360" w:lineRule="auto"/>
        <w:rPr>
          <w:bCs/>
          <w:szCs w:val="21"/>
        </w:rPr>
      </w:pPr>
      <w:r>
        <w:rPr>
          <w:rFonts w:hint="eastAsia"/>
          <w:bCs/>
          <w:szCs w:val="21"/>
        </w:rPr>
        <w:t xml:space="preserve">第一条  </w:t>
      </w:r>
      <w:r>
        <w:rPr>
          <w:rFonts w:hint="eastAsia"/>
          <w:szCs w:val="21"/>
        </w:rPr>
        <w:t>甲方安全管理责任</w:t>
      </w:r>
    </w:p>
    <w:p>
      <w:pPr>
        <w:pStyle w:val="8"/>
        <w:spacing w:line="360" w:lineRule="auto"/>
        <w:ind w:left="30"/>
        <w:rPr>
          <w:szCs w:val="21"/>
        </w:rPr>
      </w:pPr>
      <w:r>
        <w:rPr>
          <w:rFonts w:hint="eastAsia"/>
          <w:szCs w:val="21"/>
        </w:rPr>
        <w:t>甲方权利如下：</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有权要求承包商配备HSE管理机构或人员，执行安全生产法规、标准，遵守安全生产规章制度及安全操作规程，控制危险源，熟练掌握事故防范措施和事故应急预案等。</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有权要求承包商贯彻执行安全生产责任制，并对其履行情况进行监督。</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有权要求承包商按规定维护相关的生产设施设备并使设施设备处于良好的工作状态。</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有权对承包商施工作业的HSE管理情况进行监督检查。</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发生事故后，有权参与事故的调查并按照合同约定进行扣款。</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有权对承包商进行安全业绩及资质检查。</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有权根据承包项目危险性的不同，要求承包商制定专门的HSE技术管理方案并对其进行审查。</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有权要求承包商对其分包商的HSE资质业绩进行评价并提交报告，对分包商的选用有否决权。</w:t>
      </w:r>
    </w:p>
    <w:p>
      <w:pPr>
        <w:pStyle w:val="8"/>
        <w:numPr>
          <w:ilvl w:val="0"/>
          <w:numId w:val="3"/>
        </w:numPr>
        <w:spacing w:line="360" w:lineRule="auto"/>
        <w:rPr>
          <w:rFonts w:asciiTheme="minorEastAsia" w:hAnsiTheme="minorEastAsia"/>
          <w:szCs w:val="21"/>
        </w:rPr>
      </w:pPr>
      <w:r>
        <w:rPr>
          <w:rFonts w:hint="eastAsia" w:asciiTheme="minorEastAsia" w:hAnsiTheme="minorEastAsia"/>
          <w:szCs w:val="21"/>
        </w:rPr>
        <w:t>甲方义务如下：</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向承包商提供合同中规定的安全条件。</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发生事故后，积极组织抢险救援，防止事故扩大。</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应承包商要求，向承包商提供相关的安全资料。</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其他根据相关规定要求应尽的义务。</w:t>
      </w:r>
    </w:p>
    <w:p>
      <w:pPr>
        <w:pStyle w:val="8"/>
        <w:spacing w:line="360" w:lineRule="auto"/>
        <w:ind w:left="450"/>
        <w:rPr>
          <w:color w:val="FF0000"/>
          <w:szCs w:val="21"/>
        </w:rPr>
      </w:pPr>
    </w:p>
    <w:p>
      <w:pPr>
        <w:pStyle w:val="8"/>
        <w:spacing w:line="360" w:lineRule="auto"/>
        <w:rPr>
          <w:szCs w:val="21"/>
        </w:rPr>
      </w:pPr>
      <w:r>
        <w:rPr>
          <w:szCs w:val="21"/>
        </w:rPr>
        <w:t> </w:t>
      </w:r>
    </w:p>
    <w:p>
      <w:pPr>
        <w:pStyle w:val="8"/>
        <w:spacing w:line="360" w:lineRule="auto"/>
        <w:rPr>
          <w:color w:val="FF0000"/>
          <w:szCs w:val="21"/>
        </w:rPr>
      </w:pPr>
      <w:r>
        <w:rPr>
          <w:rFonts w:hint="eastAsia"/>
          <w:szCs w:val="21"/>
        </w:rPr>
        <w:t>第二条  乙方安全管理责任</w:t>
      </w:r>
    </w:p>
    <w:p>
      <w:pPr>
        <w:pStyle w:val="8"/>
        <w:spacing w:line="360" w:lineRule="auto"/>
        <w:rPr>
          <w:rFonts w:asciiTheme="minorEastAsia" w:hAnsiTheme="minorEastAsia"/>
          <w:szCs w:val="21"/>
        </w:rPr>
      </w:pPr>
      <w:r>
        <w:rPr>
          <w:rFonts w:hint="eastAsia" w:asciiTheme="minorEastAsia" w:hAnsiTheme="minorEastAsia"/>
          <w:szCs w:val="21"/>
        </w:rPr>
        <w:t>乙方权利如下：</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有权对业主的HSE工作提出建议，对业主违章指挥、强令冒险作业，有权拒绝执行。</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对属于业主的作业场所，有权按规定要求业主提供符合安全施工作业的条件和环境。</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出现严重危及生命安全的紧急情况时，有权采取合理必要的避险措施。</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有权要求业主提供相关的HSE资料。</w:t>
      </w:r>
    </w:p>
    <w:p>
      <w:pPr>
        <w:pStyle w:val="12"/>
        <w:numPr>
          <w:ilvl w:val="0"/>
          <w:numId w:val="0"/>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乙方义务如下：</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应建立健全HSE管理机构，配备专职或兼职HSE管理人员，建立安全生产责任制，制定各项安全规章制度，并满足业主最低HSE管理要求。</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对重点施工或高风险作业项目制定HSE技术管理方案，报监理和业主审批。</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组织安全检查，采取有效措施消除安全隐患，重大隐患应及时通报业主。</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应对作业人员进行安全教育和培训，使其具备相应安全意识和技能。从事特种作业的人员必须通过专业培训并获得特种作业资格证书。</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应向工作人员提供相应合格的劳保用品，并有确保其正确使用。</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不得使用不符合业主要求或国家、行业标准的材料、设备、装置、防护用品、安全检测仪器等物品。</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选用分包商，应事先对分包商的HSE业绩及资质进行评估，并报告业主批准。</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应在项目HSE管理计划中明确对业主利益的维护。</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应雇佣身心健康的人员执行承包服务合同。</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两个及以上在业主同一区域内作业的承包商，可能影响对方生产安全时，应当签订安全生产管理协议，明确各自的安全生产管理职责和应当采取的安全措施，并报业主备案。</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其他根据相关规定要求应尽的义务。</w:t>
      </w:r>
    </w:p>
    <w:p>
      <w:pPr>
        <w:pStyle w:val="8"/>
        <w:spacing w:line="360" w:lineRule="auto"/>
        <w:rPr>
          <w:szCs w:val="21"/>
        </w:rPr>
      </w:pPr>
      <w:r>
        <w:rPr>
          <w:rFonts w:hint="eastAsia"/>
          <w:szCs w:val="21"/>
        </w:rPr>
        <w:t>第三条  事故处理</w:t>
      </w:r>
    </w:p>
    <w:p>
      <w:pPr>
        <w:pStyle w:val="12"/>
        <w:numPr>
          <w:ilvl w:val="3"/>
          <w:numId w:val="5"/>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业主负有对承包商的HSE管理进行监督检查的责任，但这并不影响和减轻承包商应负的责任。</w:t>
      </w:r>
    </w:p>
    <w:p>
      <w:pPr>
        <w:pStyle w:val="12"/>
        <w:numPr>
          <w:ilvl w:val="3"/>
          <w:numId w:val="5"/>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承包商应事先掌握项目的所有安全风险，（并在合同报价中单列HSE费用），业主不再对此类风险控制费用和时间进行任何补偿。</w:t>
      </w:r>
    </w:p>
    <w:p>
      <w:pPr>
        <w:pStyle w:val="12"/>
        <w:numPr>
          <w:ilvl w:val="3"/>
          <w:numId w:val="5"/>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发生事故或险情时，业主与承包商都有抢险救灾的义务，所发生的费用由责任方承担。</w:t>
      </w:r>
    </w:p>
    <w:p>
      <w:pPr>
        <w:pStyle w:val="12"/>
        <w:numPr>
          <w:ilvl w:val="3"/>
          <w:numId w:val="5"/>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事故调查按中国法律法规进行，事故调查后应明确责任。</w:t>
      </w:r>
    </w:p>
    <w:p>
      <w:pPr>
        <w:pStyle w:val="12"/>
        <w:numPr>
          <w:ilvl w:val="3"/>
          <w:numId w:val="5"/>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业主或承包商违反合同要求，未造成事故时，依据合同约定进行赔偿。由业主造成的事故，业主承担全部责任，并按合同约定赔偿损失；由承包商造成的事故，承包商承担全部责任，并按合同约定赔偿损失；合同双方共同违约造成的事故，按双方责任大小承担相应责任，并按照合同约定支付违约金；由于不可抗力造成合同项目发生事故及损失，业主及承包商各自承担相应的损失。</w:t>
      </w:r>
    </w:p>
    <w:p>
      <w:pPr>
        <w:pStyle w:val="12"/>
        <w:numPr>
          <w:ilvl w:val="3"/>
          <w:numId w:val="5"/>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承包商发生事故后弄虚作假、隐瞒不报、迟报或慌报，业主将按本附约中的违约细则条款对其进行扣款。</w:t>
      </w:r>
    </w:p>
    <w:p>
      <w:pPr>
        <w:pStyle w:val="13"/>
        <w:numPr>
          <w:ilvl w:val="0"/>
          <w:numId w:val="0"/>
        </w:numPr>
        <w:spacing w:beforeLines="0" w:afterLines="0" w:line="360" w:lineRule="auto"/>
        <w:rPr>
          <w:rFonts w:cs="仿宋_GB2312" w:asciiTheme="minorEastAsia" w:hAnsiTheme="minorEastAsia" w:eastAsiaTheme="minorEastAsia"/>
          <w:szCs w:val="21"/>
        </w:rPr>
      </w:pPr>
      <w:r>
        <w:rPr>
          <w:rFonts w:hint="eastAsia" w:asciiTheme="minorEastAsia" w:hAnsiTheme="minorEastAsia" w:eastAsiaTheme="minorEastAsia"/>
          <w:szCs w:val="21"/>
        </w:rPr>
        <w:t xml:space="preserve">第四条  </w:t>
      </w:r>
      <w:r>
        <w:rPr>
          <w:rFonts w:hint="eastAsia" w:cs="仿宋_GB2312" w:asciiTheme="minorEastAsia" w:hAnsiTheme="minorEastAsia" w:eastAsiaTheme="minorEastAsia"/>
          <w:szCs w:val="21"/>
        </w:rPr>
        <w:t>汇报</w:t>
      </w:r>
    </w:p>
    <w:p>
      <w:pPr>
        <w:pStyle w:val="15"/>
        <w:spacing w:line="360" w:lineRule="auto"/>
        <w:rPr>
          <w:rFonts w:cs="仿宋_GB2312" w:asciiTheme="minorEastAsia" w:hAnsiTheme="minorEastAsia" w:eastAsiaTheme="minorEastAsia"/>
          <w:szCs w:val="21"/>
        </w:rPr>
      </w:pPr>
      <w:r>
        <w:rPr>
          <w:rFonts w:hint="eastAsia" w:cs="仿宋_GB2312" w:asciiTheme="minorEastAsia" w:hAnsiTheme="minorEastAsia" w:eastAsiaTheme="minorEastAsia"/>
          <w:szCs w:val="21"/>
        </w:rPr>
        <w:t>承包商应按月或更短的间隔期向业主提交正式报告。该报告应概括承包商在报告期内的HSE管理情况，包括但不限于以下内容：</w:t>
      </w:r>
    </w:p>
    <w:p>
      <w:pPr>
        <w:pStyle w:val="16"/>
        <w:numPr>
          <w:ilvl w:val="0"/>
          <w:numId w:val="1"/>
        </w:numPr>
        <w:tabs>
          <w:tab w:val="left" w:pos="854"/>
          <w:tab w:val="clear" w:pos="1455"/>
        </w:tabs>
        <w:spacing w:line="360" w:lineRule="auto"/>
        <w:ind w:left="0"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HSE管理目标的实现情况和日常工作的实施情况；</w:t>
      </w:r>
    </w:p>
    <w:p>
      <w:pPr>
        <w:pStyle w:val="16"/>
        <w:numPr>
          <w:ilvl w:val="0"/>
          <w:numId w:val="1"/>
        </w:numPr>
        <w:tabs>
          <w:tab w:val="left" w:pos="854"/>
          <w:tab w:val="clear" w:pos="1455"/>
        </w:tabs>
        <w:spacing w:line="360" w:lineRule="auto"/>
        <w:ind w:left="0"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所有会造成潜在的、或重大伤害的、或对设备财产造成损失的、或其他应该向业主报告的事故、溢油和计划外排放；</w:t>
      </w:r>
    </w:p>
    <w:p>
      <w:pPr>
        <w:pStyle w:val="16"/>
        <w:numPr>
          <w:ilvl w:val="0"/>
          <w:numId w:val="1"/>
        </w:numPr>
        <w:tabs>
          <w:tab w:val="left" w:pos="854"/>
          <w:tab w:val="clear" w:pos="1455"/>
        </w:tabs>
        <w:spacing w:line="360" w:lineRule="auto"/>
        <w:ind w:left="0"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 xml:space="preserve">所有未遂的但具有潜在伤害、损失的事故； </w:t>
      </w:r>
    </w:p>
    <w:p>
      <w:pPr>
        <w:pStyle w:val="16"/>
        <w:numPr>
          <w:ilvl w:val="0"/>
          <w:numId w:val="1"/>
        </w:numPr>
        <w:tabs>
          <w:tab w:val="left" w:pos="854"/>
          <w:tab w:val="clear" w:pos="1455"/>
        </w:tabs>
        <w:spacing w:line="360" w:lineRule="auto"/>
        <w:ind w:left="0"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 xml:space="preserve">改进措施、禁令发布及法律诉讼通告等； </w:t>
      </w:r>
    </w:p>
    <w:p>
      <w:pPr>
        <w:pStyle w:val="16"/>
        <w:numPr>
          <w:ilvl w:val="0"/>
          <w:numId w:val="1"/>
        </w:numPr>
        <w:tabs>
          <w:tab w:val="left" w:pos="854"/>
          <w:tab w:val="clear" w:pos="1455"/>
        </w:tabs>
        <w:spacing w:line="360" w:lineRule="auto"/>
        <w:ind w:left="0"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为业主项目工作的所有人员总的工作时数；</w:t>
      </w:r>
    </w:p>
    <w:p>
      <w:pPr>
        <w:pStyle w:val="16"/>
        <w:numPr>
          <w:ilvl w:val="0"/>
          <w:numId w:val="1"/>
        </w:numPr>
        <w:tabs>
          <w:tab w:val="left" w:pos="854"/>
          <w:tab w:val="clear" w:pos="1455"/>
        </w:tabs>
        <w:spacing w:line="360" w:lineRule="auto"/>
        <w:ind w:left="0"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其它须向业主汇报的事项。</w:t>
      </w:r>
    </w:p>
    <w:p>
      <w:pPr>
        <w:pStyle w:val="13"/>
        <w:numPr>
          <w:ilvl w:val="0"/>
          <w:numId w:val="0"/>
        </w:numPr>
        <w:spacing w:beforeLines="0" w:afterLines="0" w:line="360" w:lineRule="auto"/>
        <w:rPr>
          <w:rFonts w:cs="仿宋_GB2312" w:asciiTheme="minorEastAsia" w:hAnsiTheme="minorEastAsia" w:eastAsiaTheme="minorEastAsia"/>
          <w:szCs w:val="21"/>
        </w:rPr>
      </w:pPr>
      <w:r>
        <w:rPr>
          <w:rFonts w:hint="eastAsia" w:cs="仿宋_GB2312" w:asciiTheme="minorEastAsia" w:hAnsiTheme="minorEastAsia" w:eastAsiaTheme="minorEastAsia"/>
          <w:szCs w:val="21"/>
        </w:rPr>
        <w:t>第五条  个人防护</w:t>
      </w:r>
    </w:p>
    <w:p>
      <w:pPr>
        <w:pStyle w:val="14"/>
        <w:numPr>
          <w:ilvl w:val="0"/>
          <w:numId w:val="6"/>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 xml:space="preserve">承包商应根据工作中的风险为工作人员提供合适的个人防护用品，并应认识到这是最后的安全措施，任何详细的工作计划、措施和管理均不能取而代之。 </w:t>
      </w:r>
    </w:p>
    <w:p>
      <w:pPr>
        <w:pStyle w:val="14"/>
        <w:numPr>
          <w:ilvl w:val="0"/>
          <w:numId w:val="6"/>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在所有施工场地，现场所有人员都至少应穿戴安全帽、防砸防穿刺安全鞋、工作服。</w:t>
      </w:r>
    </w:p>
    <w:p>
      <w:pPr>
        <w:pStyle w:val="14"/>
        <w:numPr>
          <w:ilvl w:val="0"/>
          <w:numId w:val="6"/>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因实际作业风险的需要或业主对部分区域和作业有具体要求时，承包商应为员工提供相应的劳保用品。</w:t>
      </w:r>
    </w:p>
    <w:p>
      <w:pPr>
        <w:pStyle w:val="14"/>
        <w:numPr>
          <w:ilvl w:val="0"/>
          <w:numId w:val="6"/>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承包商应根据对风险的评估确定实际需要的个人防护用品，而不能只满足最低的个人防护用品要求。</w:t>
      </w:r>
    </w:p>
    <w:p>
      <w:pPr>
        <w:pStyle w:val="13"/>
        <w:numPr>
          <w:ilvl w:val="0"/>
          <w:numId w:val="0"/>
        </w:numPr>
        <w:spacing w:beforeLines="0" w:afterLines="0" w:line="360" w:lineRule="auto"/>
        <w:rPr>
          <w:rFonts w:cs="仿宋_GB2312" w:asciiTheme="minorEastAsia" w:hAnsiTheme="minorEastAsia" w:eastAsiaTheme="minorEastAsia"/>
          <w:szCs w:val="21"/>
        </w:rPr>
      </w:pPr>
      <w:r>
        <w:rPr>
          <w:rFonts w:hint="eastAsia" w:cs="仿宋_GB2312" w:asciiTheme="minorEastAsia" w:hAnsiTheme="minorEastAsia" w:eastAsiaTheme="minorEastAsia"/>
          <w:szCs w:val="21"/>
        </w:rPr>
        <w:t>第六条  工作环境</w:t>
      </w:r>
    </w:p>
    <w:p>
      <w:pPr>
        <w:pStyle w:val="14"/>
        <w:numPr>
          <w:ilvl w:val="0"/>
          <w:numId w:val="7"/>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承包商应督促所有人员保持施工现场的清洁和整齐，将人员受伤、设备受损的风险减至最小。</w:t>
      </w:r>
    </w:p>
    <w:p>
      <w:pPr>
        <w:pStyle w:val="14"/>
        <w:numPr>
          <w:ilvl w:val="0"/>
          <w:numId w:val="7"/>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承包商应与当地周边单位和个人和平共处，若有任何冲突、矛盾或对个人财产的破坏应立即上报和处理。</w:t>
      </w:r>
    </w:p>
    <w:p>
      <w:pPr>
        <w:pStyle w:val="14"/>
        <w:numPr>
          <w:ilvl w:val="0"/>
          <w:numId w:val="7"/>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承包商应报告包括盗窃在内的一切治安事件。</w:t>
      </w:r>
    </w:p>
    <w:p>
      <w:pPr>
        <w:pStyle w:val="14"/>
        <w:numPr>
          <w:ilvl w:val="0"/>
          <w:numId w:val="7"/>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承包商应确保任何来访者进入施工现场前接受安全教育，使其了解施工场地的安全要求，并有人全程现场陪同。</w:t>
      </w:r>
    </w:p>
    <w:p>
      <w:pPr>
        <w:pStyle w:val="14"/>
        <w:numPr>
          <w:ilvl w:val="0"/>
          <w:numId w:val="7"/>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承包商应禁止一切与工作或业务无关人员进入施工现场。</w:t>
      </w:r>
    </w:p>
    <w:p>
      <w:pPr>
        <w:pStyle w:val="13"/>
        <w:numPr>
          <w:ilvl w:val="0"/>
          <w:numId w:val="0"/>
        </w:numPr>
        <w:spacing w:beforeLines="0" w:afterLines="0" w:line="360" w:lineRule="auto"/>
        <w:rPr>
          <w:rFonts w:cs="仿宋_GB2312" w:asciiTheme="minorEastAsia" w:hAnsiTheme="minorEastAsia" w:eastAsiaTheme="minorEastAsia"/>
          <w:caps/>
          <w:szCs w:val="21"/>
        </w:rPr>
      </w:pPr>
      <w:r>
        <w:rPr>
          <w:rFonts w:hint="eastAsia" w:cs="仿宋_GB2312" w:asciiTheme="minorEastAsia" w:hAnsiTheme="minorEastAsia" w:eastAsiaTheme="minorEastAsia"/>
          <w:szCs w:val="21"/>
        </w:rPr>
        <w:t>第七条  设备、设施安全</w:t>
      </w:r>
    </w:p>
    <w:p>
      <w:pPr>
        <w:pStyle w:val="14"/>
        <w:numPr>
          <w:ilvl w:val="0"/>
          <w:numId w:val="8"/>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 xml:space="preserve">承包商应确保所提供的设备都处于完好安全的状态，特种设备应在检验合格有效期内使用。一旦业主要求，承包商应随时提供设备的检查记录，维修保养记录、检验档案等。 </w:t>
      </w:r>
    </w:p>
    <w:p>
      <w:pPr>
        <w:pStyle w:val="14"/>
        <w:numPr>
          <w:ilvl w:val="0"/>
          <w:numId w:val="8"/>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承包商应制定所有设备的安全操作规程，并确保所有的人员都按安全操作规程进行操作。</w:t>
      </w:r>
    </w:p>
    <w:p>
      <w:pPr>
        <w:pStyle w:val="13"/>
        <w:numPr>
          <w:ilvl w:val="0"/>
          <w:numId w:val="0"/>
        </w:numPr>
        <w:spacing w:beforeLines="0" w:afterLines="0" w:line="360" w:lineRule="auto"/>
        <w:rPr>
          <w:rFonts w:cs="仿宋_GB2312" w:asciiTheme="minorEastAsia" w:hAnsiTheme="minorEastAsia" w:eastAsiaTheme="minorEastAsia"/>
          <w:szCs w:val="21"/>
        </w:rPr>
      </w:pPr>
      <w:r>
        <w:rPr>
          <w:rFonts w:hint="eastAsia" w:cs="仿宋_GB2312" w:asciiTheme="minorEastAsia" w:hAnsiTheme="minorEastAsia" w:eastAsiaTheme="minorEastAsia"/>
          <w:szCs w:val="21"/>
        </w:rPr>
        <w:t>第八条  环保要求</w:t>
      </w:r>
    </w:p>
    <w:p>
      <w:pPr>
        <w:pStyle w:val="14"/>
        <w:numPr>
          <w:ilvl w:val="0"/>
          <w:numId w:val="9"/>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承包商应遵守有关废弃物生产、运输、储存和处理等方面的所有法律法规，应使其数量最小化。</w:t>
      </w:r>
    </w:p>
    <w:p>
      <w:pPr>
        <w:pStyle w:val="14"/>
        <w:numPr>
          <w:ilvl w:val="0"/>
          <w:numId w:val="9"/>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承包商应在施工场地设立固定垃圾存放点，保持施工场地的环境卫生，做到文明施工。</w:t>
      </w:r>
    </w:p>
    <w:p>
      <w:pPr>
        <w:pStyle w:val="14"/>
        <w:numPr>
          <w:ilvl w:val="0"/>
          <w:numId w:val="9"/>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对扬尘较大的作业项目，必须有除尘措施，对扬尘较大的路面，应定时洒水。</w:t>
      </w:r>
    </w:p>
    <w:p>
      <w:pPr>
        <w:pStyle w:val="14"/>
        <w:numPr>
          <w:ilvl w:val="0"/>
          <w:numId w:val="9"/>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废水废油应经过处理并符合相关的排放标准后方可排放。</w:t>
      </w:r>
    </w:p>
    <w:p>
      <w:pPr>
        <w:pStyle w:val="14"/>
        <w:numPr>
          <w:ilvl w:val="0"/>
          <w:numId w:val="9"/>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承包商应确保所有参加施工的机械设施和设备均符合国家和地方环保政策和法规标准的要求。</w:t>
      </w:r>
    </w:p>
    <w:p>
      <w:pPr>
        <w:pStyle w:val="14"/>
        <w:numPr>
          <w:ilvl w:val="0"/>
          <w:numId w:val="9"/>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承包商应具备突发环境事故应急程序以及相应的应急设备和物资。</w:t>
      </w:r>
    </w:p>
    <w:p>
      <w:pPr>
        <w:pStyle w:val="13"/>
        <w:numPr>
          <w:ilvl w:val="0"/>
          <w:numId w:val="0"/>
        </w:numPr>
        <w:spacing w:beforeLines="0" w:afterLines="0" w:line="360" w:lineRule="auto"/>
        <w:rPr>
          <w:rFonts w:cs="仿宋_GB2312" w:asciiTheme="minorEastAsia" w:hAnsiTheme="minorEastAsia" w:eastAsiaTheme="minorEastAsia"/>
          <w:szCs w:val="21"/>
        </w:rPr>
      </w:pPr>
      <w:r>
        <w:rPr>
          <w:rFonts w:hint="eastAsia" w:cs="仿宋_GB2312" w:asciiTheme="minorEastAsia" w:hAnsiTheme="minorEastAsia" w:eastAsiaTheme="minorEastAsia"/>
          <w:szCs w:val="21"/>
        </w:rPr>
        <w:t>第九条  违约细则</w:t>
      </w:r>
    </w:p>
    <w:p>
      <w:pPr>
        <w:pStyle w:val="14"/>
        <w:numPr>
          <w:ilvl w:val="0"/>
          <w:numId w:val="10"/>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进入施工现场后必须履行自身的HSE职责、严格遵守本附约各条款及业主针对本工程项目制定的各项管理制度。业主将随机对承包商的HSE表现进行检查，对违章行为以及管理缺陷进行扣款，扣款金额从工程款中直接扣除。</w:t>
      </w:r>
    </w:p>
    <w:p>
      <w:pPr>
        <w:pStyle w:val="14"/>
        <w:numPr>
          <w:ilvl w:val="0"/>
          <w:numId w:val="10"/>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业主有权要求承包商撤换任何严重违规的人员，承包商应在业主要求的期限内撤换。</w:t>
      </w:r>
    </w:p>
    <w:p>
      <w:pPr>
        <w:pStyle w:val="14"/>
        <w:numPr>
          <w:ilvl w:val="0"/>
          <w:numId w:val="10"/>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严重违规或者现场存在重大隐患时，业主可要求承包商停工，直至其满足业主最低HSE管理要求，并提出申请，经业主批准后，方可复工。因承包商的工作失误导致业主要求承包商停工而造成的损失由承包商承担。</w:t>
      </w:r>
    </w:p>
    <w:p>
      <w:pPr>
        <w:pStyle w:val="14"/>
        <w:numPr>
          <w:ilvl w:val="0"/>
          <w:numId w:val="10"/>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承包商责任事故扣款标准：</w:t>
      </w:r>
    </w:p>
    <w:p>
      <w:pPr>
        <w:pStyle w:val="14"/>
        <w:numPr>
          <w:ilvl w:val="0"/>
          <w:numId w:val="10"/>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上述扣款，直接从承包商工程款中扣除，工程余款不足的，业主有权追偿。</w:t>
      </w:r>
    </w:p>
    <w:p>
      <w:pPr>
        <w:pStyle w:val="14"/>
        <w:numPr>
          <w:ilvl w:val="0"/>
          <w:numId w:val="10"/>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承包商在开工后一个月内即发生重大HSE事故的，则该承包商将被认为是极度不安全作业的，业主即可单方面终止与该承包商的工程合同，由此造成的损失，由承包商负责赔偿。</w:t>
      </w:r>
    </w:p>
    <w:p>
      <w:pPr>
        <w:pStyle w:val="8"/>
        <w:spacing w:line="360" w:lineRule="auto"/>
        <w:rPr>
          <w:szCs w:val="21"/>
        </w:rPr>
      </w:pPr>
      <w:r>
        <w:rPr>
          <w:rFonts w:hint="eastAsia"/>
          <w:szCs w:val="21"/>
        </w:rPr>
        <w:t>第十条  安全风险抵押金</w:t>
      </w:r>
    </w:p>
    <w:p>
      <w:pPr>
        <w:pStyle w:val="8"/>
        <w:numPr>
          <w:ilvl w:val="0"/>
          <w:numId w:val="11"/>
        </w:numPr>
        <w:spacing w:line="360" w:lineRule="auto"/>
        <w:rPr>
          <w:szCs w:val="21"/>
        </w:rPr>
      </w:pPr>
      <w:r>
        <w:rPr>
          <w:rFonts w:hint="eastAsia"/>
          <w:szCs w:val="21"/>
        </w:rPr>
        <w:t>乙方在签订服务合同及本协议后10日内，向甲方缴纳安全风险抵押金</w:t>
      </w:r>
      <w:r>
        <w:rPr>
          <w:rFonts w:hint="eastAsia"/>
          <w:szCs w:val="21"/>
          <w:u w:val="single"/>
        </w:rPr>
        <w:t xml:space="preserve">        </w:t>
      </w:r>
      <w:r>
        <w:rPr>
          <w:rFonts w:hint="eastAsia"/>
          <w:szCs w:val="21"/>
        </w:rPr>
        <w:t xml:space="preserve"> 万元。</w:t>
      </w:r>
    </w:p>
    <w:p>
      <w:pPr>
        <w:pStyle w:val="8"/>
        <w:numPr>
          <w:ilvl w:val="0"/>
          <w:numId w:val="11"/>
        </w:numPr>
        <w:spacing w:line="360" w:lineRule="auto"/>
        <w:rPr>
          <w:szCs w:val="21"/>
        </w:rPr>
      </w:pPr>
      <w:r>
        <w:rPr>
          <w:rFonts w:hint="eastAsia"/>
          <w:szCs w:val="21"/>
        </w:rPr>
        <w:t>合同期满，如无本协议第五条约定的违约扣罚情形，抵押金如数退回乙方。</w:t>
      </w:r>
    </w:p>
    <w:p>
      <w:pPr>
        <w:pStyle w:val="8"/>
        <w:spacing w:line="360" w:lineRule="auto"/>
        <w:rPr>
          <w:szCs w:val="21"/>
        </w:rPr>
      </w:pPr>
      <w:r>
        <w:rPr>
          <w:rFonts w:hint="eastAsia"/>
          <w:szCs w:val="21"/>
        </w:rPr>
        <w:t>第十一条  协议有效时间</w:t>
      </w:r>
    </w:p>
    <w:p>
      <w:pPr>
        <w:pStyle w:val="8"/>
        <w:spacing w:line="360" w:lineRule="auto"/>
        <w:ind w:firstLine="210" w:firstLineChars="100"/>
        <w:rPr>
          <w:szCs w:val="21"/>
        </w:rPr>
      </w:pPr>
      <w:r>
        <w:rPr>
          <w:rFonts w:hint="eastAsia"/>
          <w:szCs w:val="21"/>
        </w:rPr>
        <w:t>本协议自签订之日起至服务合同期满前有效。</w:t>
      </w:r>
    </w:p>
    <w:p>
      <w:pPr>
        <w:pStyle w:val="8"/>
        <w:spacing w:line="360" w:lineRule="auto"/>
        <w:rPr>
          <w:szCs w:val="21"/>
        </w:rPr>
      </w:pPr>
      <w:r>
        <w:rPr>
          <w:rFonts w:hint="eastAsia"/>
          <w:szCs w:val="21"/>
        </w:rPr>
        <w:t>第十二条</w:t>
      </w:r>
    </w:p>
    <w:p>
      <w:pPr>
        <w:pStyle w:val="8"/>
        <w:spacing w:line="360" w:lineRule="auto"/>
        <w:ind w:firstLine="210" w:firstLineChars="100"/>
        <w:rPr>
          <w:szCs w:val="21"/>
        </w:rPr>
      </w:pPr>
      <w:r>
        <w:rPr>
          <w:rFonts w:hint="eastAsia"/>
          <w:szCs w:val="21"/>
        </w:rPr>
        <w:t>其它未尽事宜由甲乙双方协商解决。</w:t>
      </w:r>
    </w:p>
    <w:p>
      <w:pPr>
        <w:pStyle w:val="8"/>
        <w:spacing w:line="360" w:lineRule="auto"/>
        <w:rPr>
          <w:szCs w:val="21"/>
        </w:rPr>
      </w:pPr>
      <w:r>
        <w:rPr>
          <w:rFonts w:hint="eastAsia"/>
          <w:szCs w:val="21"/>
        </w:rPr>
        <w:t>第十三条</w:t>
      </w:r>
    </w:p>
    <w:p>
      <w:pPr>
        <w:pStyle w:val="8"/>
        <w:spacing w:line="360" w:lineRule="auto"/>
        <w:ind w:firstLine="210" w:firstLineChars="100"/>
        <w:rPr>
          <w:szCs w:val="21"/>
        </w:rPr>
      </w:pPr>
      <w:r>
        <w:rPr>
          <w:rFonts w:hint="eastAsia"/>
          <w:szCs w:val="21"/>
        </w:rPr>
        <w:t>本协议履行过程中的纠纷解决方式参照服务合同约定。</w:t>
      </w:r>
    </w:p>
    <w:p>
      <w:pPr>
        <w:pStyle w:val="8"/>
        <w:spacing w:line="360" w:lineRule="auto"/>
        <w:rPr>
          <w:szCs w:val="21"/>
        </w:rPr>
      </w:pPr>
      <w:r>
        <w:rPr>
          <w:rFonts w:hint="eastAsia"/>
          <w:szCs w:val="21"/>
        </w:rPr>
        <w:t>第十四条</w:t>
      </w:r>
    </w:p>
    <w:p>
      <w:pPr>
        <w:pStyle w:val="8"/>
        <w:spacing w:line="360" w:lineRule="auto"/>
        <w:ind w:firstLine="210" w:firstLineChars="100"/>
        <w:rPr>
          <w:szCs w:val="21"/>
        </w:rPr>
      </w:pPr>
      <w:r>
        <w:rPr>
          <w:rFonts w:hint="eastAsia"/>
          <w:szCs w:val="21"/>
        </w:rPr>
        <w:t>本协议一式三份，甲方生产运营中心和项目建设部门（单位），以及乙方各执一份，自签订之日起生效。</w:t>
      </w:r>
    </w:p>
    <w:p>
      <w:pPr>
        <w:pStyle w:val="8"/>
        <w:spacing w:line="360" w:lineRule="auto"/>
        <w:rPr>
          <w:szCs w:val="21"/>
        </w:rPr>
        <w:sectPr>
          <w:type w:val="continuous"/>
          <w:pgSz w:w="11906" w:h="16838"/>
          <w:pgMar w:top="1440" w:right="1800" w:bottom="1440" w:left="1800" w:header="851" w:footer="992" w:gutter="0"/>
          <w:cols w:space="425" w:num="1"/>
          <w:docGrid w:type="lines" w:linePitch="312" w:charSpace="0"/>
        </w:sectPr>
      </w:pPr>
    </w:p>
    <w:p>
      <w:pPr>
        <w:pStyle w:val="8"/>
        <w:spacing w:line="360" w:lineRule="auto"/>
        <w:rPr>
          <w:szCs w:val="21"/>
        </w:rPr>
      </w:pPr>
      <w:r>
        <w:rPr>
          <w:rFonts w:hint="eastAsia"/>
          <w:szCs w:val="21"/>
        </w:rPr>
        <w:t>甲方（公章）：</w:t>
      </w:r>
    </w:p>
    <w:p>
      <w:pPr>
        <w:pStyle w:val="8"/>
        <w:spacing w:line="360" w:lineRule="auto"/>
        <w:rPr>
          <w:szCs w:val="21"/>
        </w:rPr>
      </w:pPr>
    </w:p>
    <w:p>
      <w:pPr>
        <w:pStyle w:val="8"/>
        <w:spacing w:line="360" w:lineRule="auto"/>
        <w:rPr>
          <w:szCs w:val="21"/>
        </w:rPr>
      </w:pPr>
      <w:r>
        <w:rPr>
          <w:rFonts w:hint="eastAsia"/>
          <w:szCs w:val="21"/>
        </w:rPr>
        <w:t>签名：</w:t>
      </w:r>
    </w:p>
    <w:p>
      <w:pPr>
        <w:pStyle w:val="8"/>
        <w:spacing w:line="360" w:lineRule="auto"/>
        <w:rPr>
          <w:szCs w:val="21"/>
        </w:rPr>
      </w:pPr>
    </w:p>
    <w:p>
      <w:pPr>
        <w:pStyle w:val="8"/>
        <w:spacing w:line="360" w:lineRule="auto"/>
        <w:rPr>
          <w:szCs w:val="21"/>
        </w:rPr>
      </w:pPr>
      <w:r>
        <w:rPr>
          <w:rFonts w:hint="eastAsia"/>
          <w:szCs w:val="21"/>
        </w:rPr>
        <w:t>日期：</w:t>
      </w:r>
    </w:p>
    <w:p>
      <w:pPr>
        <w:pStyle w:val="8"/>
        <w:spacing w:line="360" w:lineRule="auto"/>
        <w:rPr>
          <w:szCs w:val="21"/>
        </w:rPr>
      </w:pPr>
      <w:r>
        <w:rPr>
          <w:rFonts w:hint="eastAsia"/>
          <w:szCs w:val="21"/>
        </w:rPr>
        <w:t>乙方（公章）：</w:t>
      </w:r>
    </w:p>
    <w:p>
      <w:pPr>
        <w:pStyle w:val="8"/>
        <w:spacing w:line="360" w:lineRule="auto"/>
        <w:rPr>
          <w:szCs w:val="21"/>
        </w:rPr>
      </w:pPr>
    </w:p>
    <w:p>
      <w:pPr>
        <w:pStyle w:val="8"/>
        <w:spacing w:line="360" w:lineRule="auto"/>
        <w:rPr>
          <w:szCs w:val="21"/>
        </w:rPr>
      </w:pPr>
      <w:r>
        <w:rPr>
          <w:rFonts w:hint="eastAsia"/>
          <w:szCs w:val="21"/>
        </w:rPr>
        <w:t>签名：</w:t>
      </w:r>
    </w:p>
    <w:p>
      <w:pPr>
        <w:pStyle w:val="8"/>
        <w:spacing w:line="360" w:lineRule="auto"/>
        <w:rPr>
          <w:szCs w:val="21"/>
        </w:rPr>
      </w:pPr>
    </w:p>
    <w:p>
      <w:pPr>
        <w:pStyle w:val="8"/>
        <w:spacing w:line="360" w:lineRule="auto"/>
        <w:rPr>
          <w:szCs w:val="21"/>
        </w:rPr>
        <w:sectPr>
          <w:type w:val="continuous"/>
          <w:pgSz w:w="11906" w:h="16838"/>
          <w:pgMar w:top="1440" w:right="1800" w:bottom="1440" w:left="1800" w:header="851" w:footer="992" w:gutter="0"/>
          <w:cols w:space="425" w:num="2"/>
          <w:docGrid w:type="lines" w:linePitch="312" w:charSpace="0"/>
        </w:sectPr>
      </w:pPr>
      <w:r>
        <w:rPr>
          <w:rFonts w:hint="eastAsia"/>
          <w:szCs w:val="21"/>
        </w:rPr>
        <w:t>日期：</w:t>
      </w:r>
    </w:p>
    <w:p>
      <w:pPr>
        <w:pStyle w:val="8"/>
        <w:spacing w:line="360" w:lineRule="auto"/>
        <w:rPr>
          <w:szCs w:val="21"/>
        </w:rPr>
        <w:sectPr>
          <w:type w:val="continuous"/>
          <w:pgSz w:w="11906" w:h="16838"/>
          <w:pgMar w:top="1440" w:right="1800" w:bottom="1440" w:left="1800" w:header="851" w:footer="992" w:gutter="0"/>
          <w:cols w:space="425" w:num="2"/>
          <w:docGrid w:type="lines" w:linePitch="312" w:charSpace="0"/>
        </w:sectPr>
      </w:pPr>
    </w:p>
    <w:p>
      <w:pPr>
        <w:pStyle w:val="8"/>
        <w:spacing w:line="360" w:lineRule="auto"/>
        <w:rPr>
          <w:szCs w:val="21"/>
        </w:rPr>
        <w:sectPr>
          <w:type w:val="continuous"/>
          <w:pgSz w:w="11906" w:h="16838"/>
          <w:pgMar w:top="1440" w:right="1800" w:bottom="1440" w:left="1800" w:header="851" w:footer="992" w:gutter="0"/>
          <w:cols w:space="425" w:num="2"/>
          <w:docGrid w:type="lines" w:linePitch="312" w:charSpace="0"/>
        </w:sectPr>
      </w:pPr>
    </w:p>
    <w:p>
      <w:pPr>
        <w:pStyle w:val="8"/>
        <w:rPr>
          <w:szCs w:val="21"/>
        </w:rPr>
      </w:pPr>
    </w:p>
    <w:sectPr>
      <w:type w:val="continuous"/>
      <w:pgSz w:w="11906" w:h="16838"/>
      <w:pgMar w:top="1440" w:right="1800" w:bottom="1440" w:left="1800" w:header="851" w:footer="992" w:gutter="0"/>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12120200"/>
      <w:docPartObj>
        <w:docPartGallery w:val="AutoText"/>
      </w:docPartObj>
    </w:sdtPr>
    <w:sdtContent>
      <w:p>
        <w:pPr>
          <w:pStyle w:val="4"/>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9625F"/>
    <w:multiLevelType w:val="multilevel"/>
    <w:tmpl w:val="0819625F"/>
    <w:lvl w:ilvl="0" w:tentative="0">
      <w:start w:val="1"/>
      <w:numFmt w:val="japaneseCounting"/>
      <w:lvlText w:val="%1、"/>
      <w:lvlJc w:val="left"/>
      <w:pPr>
        <w:ind w:left="420" w:hanging="4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846"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43B5258"/>
    <w:multiLevelType w:val="multilevel"/>
    <w:tmpl w:val="143B5258"/>
    <w:lvl w:ilvl="0" w:tentative="0">
      <w:start w:val="1"/>
      <w:numFmt w:val="decimal"/>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
    <w:nsid w:val="1475052B"/>
    <w:multiLevelType w:val="multilevel"/>
    <w:tmpl w:val="1475052B"/>
    <w:lvl w:ilvl="0" w:tentative="0">
      <w:start w:val="1"/>
      <w:numFmt w:val="decimal"/>
      <w:pStyle w:val="1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26C341E4"/>
    <w:multiLevelType w:val="multilevel"/>
    <w:tmpl w:val="26C341E4"/>
    <w:lvl w:ilvl="0" w:tentative="0">
      <w:start w:val="1"/>
      <w:numFmt w:val="decimal"/>
      <w:lvlText w:val="%1."/>
      <w:lvlJc w:val="left"/>
      <w:pPr>
        <w:ind w:left="704"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418407E"/>
    <w:multiLevelType w:val="multilevel"/>
    <w:tmpl w:val="3418407E"/>
    <w:lvl w:ilvl="0" w:tentative="0">
      <w:start w:val="1"/>
      <w:numFmt w:val="decimal"/>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401827F6"/>
    <w:multiLevelType w:val="multilevel"/>
    <w:tmpl w:val="401827F6"/>
    <w:lvl w:ilvl="0" w:tentative="0">
      <w:start w:val="1"/>
      <w:numFmt w:val="decimal"/>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84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6">
    <w:nsid w:val="4B152120"/>
    <w:multiLevelType w:val="multilevel"/>
    <w:tmpl w:val="4B152120"/>
    <w:lvl w:ilvl="0" w:tentative="0">
      <w:start w:val="1"/>
      <w:numFmt w:val="decimal"/>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7">
    <w:nsid w:val="5D961895"/>
    <w:multiLevelType w:val="multilevel"/>
    <w:tmpl w:val="5D961895"/>
    <w:lvl w:ilvl="0" w:tentative="0">
      <w:start w:val="1"/>
      <w:numFmt w:val="decimal"/>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8">
    <w:nsid w:val="60D50F55"/>
    <w:multiLevelType w:val="multilevel"/>
    <w:tmpl w:val="60D50F55"/>
    <w:lvl w:ilvl="0" w:tentative="0">
      <w:start w:val="1"/>
      <w:numFmt w:val="japaneseCounting"/>
      <w:lvlText w:val="%1、"/>
      <w:lvlJc w:val="left"/>
      <w:pPr>
        <w:ind w:left="450" w:hanging="420"/>
      </w:pPr>
      <w:rPr>
        <w:rFonts w:hint="default"/>
      </w:rPr>
    </w:lvl>
    <w:lvl w:ilvl="1" w:tentative="0">
      <w:start w:val="1"/>
      <w:numFmt w:val="lowerLetter"/>
      <w:lvlText w:val="%2)"/>
      <w:lvlJc w:val="left"/>
      <w:pPr>
        <w:ind w:left="870" w:hanging="420"/>
      </w:pPr>
    </w:lvl>
    <w:lvl w:ilvl="2" w:tentative="0">
      <w:start w:val="1"/>
      <w:numFmt w:val="lowerRoman"/>
      <w:lvlText w:val="%3."/>
      <w:lvlJc w:val="right"/>
      <w:pPr>
        <w:ind w:left="1290" w:hanging="420"/>
      </w:pPr>
    </w:lvl>
    <w:lvl w:ilvl="3" w:tentative="0">
      <w:start w:val="1"/>
      <w:numFmt w:val="decimal"/>
      <w:lvlText w:val="%4."/>
      <w:lvlJc w:val="left"/>
      <w:pPr>
        <w:ind w:left="846" w:hanging="420"/>
      </w:pPr>
    </w:lvl>
    <w:lvl w:ilvl="4" w:tentative="0">
      <w:start w:val="1"/>
      <w:numFmt w:val="lowerLetter"/>
      <w:lvlText w:val="%5)"/>
      <w:lvlJc w:val="left"/>
      <w:pPr>
        <w:ind w:left="2130" w:hanging="420"/>
      </w:pPr>
    </w:lvl>
    <w:lvl w:ilvl="5" w:tentative="0">
      <w:start w:val="1"/>
      <w:numFmt w:val="lowerRoman"/>
      <w:lvlText w:val="%6."/>
      <w:lvlJc w:val="right"/>
      <w:pPr>
        <w:ind w:left="2550" w:hanging="420"/>
      </w:pPr>
    </w:lvl>
    <w:lvl w:ilvl="6" w:tentative="0">
      <w:start w:val="1"/>
      <w:numFmt w:val="decimal"/>
      <w:lvlText w:val="%7."/>
      <w:lvlJc w:val="left"/>
      <w:pPr>
        <w:ind w:left="2970" w:hanging="420"/>
      </w:pPr>
    </w:lvl>
    <w:lvl w:ilvl="7" w:tentative="0">
      <w:start w:val="1"/>
      <w:numFmt w:val="lowerLetter"/>
      <w:lvlText w:val="%8)"/>
      <w:lvlJc w:val="left"/>
      <w:pPr>
        <w:ind w:left="3390" w:hanging="420"/>
      </w:pPr>
    </w:lvl>
    <w:lvl w:ilvl="8" w:tentative="0">
      <w:start w:val="1"/>
      <w:numFmt w:val="lowerRoman"/>
      <w:lvlText w:val="%9."/>
      <w:lvlJc w:val="right"/>
      <w:pPr>
        <w:ind w:left="3810" w:hanging="420"/>
      </w:pPr>
    </w:lvl>
  </w:abstractNum>
  <w:abstractNum w:abstractNumId="9">
    <w:nsid w:val="76933334"/>
    <w:multiLevelType w:val="multilevel"/>
    <w:tmpl w:val="76933334"/>
    <w:lvl w:ilvl="0" w:tentative="0">
      <w:start w:val="1"/>
      <w:numFmt w:val="none"/>
      <w:lvlText w:val="%1——"/>
      <w:lvlJc w:val="left"/>
      <w:pPr>
        <w:tabs>
          <w:tab w:val="left" w:pos="1455"/>
        </w:tabs>
        <w:ind w:left="1155" w:hanging="420"/>
      </w:pPr>
      <w:rPr>
        <w:rFonts w:hint="eastAsia"/>
        <w:lang w:val="en-US"/>
      </w:rPr>
    </w:lvl>
    <w:lvl w:ilvl="1" w:tentative="0">
      <w:start w:val="1"/>
      <w:numFmt w:val="lowerLetter"/>
      <w:pStyle w:val="13"/>
      <w:lvlText w:val="%2)"/>
      <w:lvlJc w:val="left"/>
      <w:pPr>
        <w:tabs>
          <w:tab w:val="left" w:pos="840"/>
        </w:tabs>
        <w:ind w:left="840" w:hanging="420"/>
      </w:pPr>
    </w:lvl>
    <w:lvl w:ilvl="2" w:tentative="0">
      <w:start w:val="1"/>
      <w:numFmt w:val="lowerRoman"/>
      <w:pStyle w:val="14"/>
      <w:lvlText w:val="%3."/>
      <w:lvlJc w:val="right"/>
      <w:pPr>
        <w:tabs>
          <w:tab w:val="left" w:pos="1260"/>
        </w:tabs>
        <w:ind w:left="1260" w:hanging="420"/>
      </w:pPr>
    </w:lvl>
    <w:lvl w:ilvl="3" w:tentative="0">
      <w:start w:val="1"/>
      <w:numFmt w:val="decimal"/>
      <w:pStyle w:val="12"/>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3"/>
      <w:numFmt w:val="lowerLetter"/>
      <w:lvlText w:val="%6）"/>
      <w:lvlJc w:val="left"/>
      <w:pPr>
        <w:tabs>
          <w:tab w:val="left" w:pos="2460"/>
        </w:tabs>
        <w:ind w:left="2460" w:hanging="360"/>
      </w:pPr>
      <w:rPr>
        <w:rFonts w:hint="default"/>
      </w:r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DF738B2"/>
    <w:multiLevelType w:val="multilevel"/>
    <w:tmpl w:val="7DF738B2"/>
    <w:lvl w:ilvl="0" w:tentative="0">
      <w:start w:val="1"/>
      <w:numFmt w:val="decimal"/>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9"/>
  </w:num>
  <w:num w:numId="2">
    <w:abstractNumId w:val="2"/>
  </w:num>
  <w:num w:numId="3">
    <w:abstractNumId w:val="8"/>
  </w:num>
  <w:num w:numId="4">
    <w:abstractNumId w:val="0"/>
  </w:num>
  <w:num w:numId="5">
    <w:abstractNumId w:val="5"/>
  </w:num>
  <w:num w:numId="6">
    <w:abstractNumId w:val="10"/>
  </w:num>
  <w:num w:numId="7">
    <w:abstractNumId w:val="7"/>
  </w:num>
  <w:num w:numId="8">
    <w:abstractNumId w:val="6"/>
  </w:num>
  <w:num w:numId="9">
    <w:abstractNumId w:val="3"/>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43C"/>
    <w:rsid w:val="000844A6"/>
    <w:rsid w:val="000C4F6D"/>
    <w:rsid w:val="000F559F"/>
    <w:rsid w:val="00100295"/>
    <w:rsid w:val="00116CFA"/>
    <w:rsid w:val="001272D8"/>
    <w:rsid w:val="00211C4E"/>
    <w:rsid w:val="0025477D"/>
    <w:rsid w:val="00291B94"/>
    <w:rsid w:val="002A4FF8"/>
    <w:rsid w:val="00351DF7"/>
    <w:rsid w:val="003C0934"/>
    <w:rsid w:val="00441689"/>
    <w:rsid w:val="004D0A5F"/>
    <w:rsid w:val="00541232"/>
    <w:rsid w:val="005800F2"/>
    <w:rsid w:val="006E68F1"/>
    <w:rsid w:val="00771553"/>
    <w:rsid w:val="007A536B"/>
    <w:rsid w:val="00814DFA"/>
    <w:rsid w:val="0088443C"/>
    <w:rsid w:val="008A7DAD"/>
    <w:rsid w:val="00A0190A"/>
    <w:rsid w:val="00AD5DF6"/>
    <w:rsid w:val="00AE45ED"/>
    <w:rsid w:val="00AF4A46"/>
    <w:rsid w:val="00B93ED2"/>
    <w:rsid w:val="00CF08A3"/>
    <w:rsid w:val="00D36CCD"/>
    <w:rsid w:val="00EB6F95"/>
    <w:rsid w:val="00F968FD"/>
    <w:rsid w:val="00FC57A5"/>
    <w:rsid w:val="080052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reader-word-layer"/>
    <w:basedOn w:val="1"/>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9">
    <w:name w:val="批注框文本 Char"/>
    <w:basedOn w:val="6"/>
    <w:link w:val="2"/>
    <w:semiHidden/>
    <w:uiPriority w:val="99"/>
    <w:rPr>
      <w:sz w:val="18"/>
      <w:szCs w:val="18"/>
    </w:rPr>
  </w:style>
  <w:style w:type="character" w:customStyle="1" w:styleId="10">
    <w:name w:val="页眉 Char"/>
    <w:basedOn w:val="6"/>
    <w:link w:val="4"/>
    <w:uiPriority w:val="99"/>
    <w:rPr>
      <w:sz w:val="18"/>
      <w:szCs w:val="18"/>
    </w:rPr>
  </w:style>
  <w:style w:type="character" w:customStyle="1" w:styleId="11">
    <w:name w:val="页脚 Char"/>
    <w:basedOn w:val="6"/>
    <w:link w:val="3"/>
    <w:qFormat/>
    <w:uiPriority w:val="99"/>
    <w:rPr>
      <w:sz w:val="18"/>
      <w:szCs w:val="18"/>
    </w:rPr>
  </w:style>
  <w:style w:type="paragraph" w:customStyle="1" w:styleId="12">
    <w:name w:val="附录二级无"/>
    <w:basedOn w:val="1"/>
    <w:qFormat/>
    <w:uiPriority w:val="0"/>
    <w:pPr>
      <w:widowControl/>
      <w:numPr>
        <w:ilvl w:val="3"/>
        <w:numId w:val="1"/>
      </w:numPr>
      <w:wordWrap w:val="0"/>
      <w:overflowPunct w:val="0"/>
      <w:autoSpaceDE w:val="0"/>
      <w:autoSpaceDN w:val="0"/>
      <w:ind w:left="0"/>
      <w:textAlignment w:val="baseline"/>
      <w:outlineLvl w:val="3"/>
    </w:pPr>
    <w:rPr>
      <w:rFonts w:ascii="宋体" w:hAnsi="Times New Roman" w:eastAsia="宋体" w:cs="Times New Roman"/>
      <w:kern w:val="21"/>
      <w:szCs w:val="21"/>
    </w:rPr>
  </w:style>
  <w:style w:type="paragraph" w:customStyle="1" w:styleId="13">
    <w:name w:val="附录章标题"/>
    <w:next w:val="1"/>
    <w:qFormat/>
    <w:uiPriority w:val="0"/>
    <w:pPr>
      <w:numPr>
        <w:ilvl w:val="1"/>
        <w:numId w:val="1"/>
      </w:numPr>
      <w:wordWrap w:val="0"/>
      <w:overflowPunct w:val="0"/>
      <w:autoSpaceDE w:val="0"/>
      <w:spacing w:beforeLines="100" w:afterLines="10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14">
    <w:name w:val="附录一级无"/>
    <w:basedOn w:val="1"/>
    <w:qFormat/>
    <w:uiPriority w:val="0"/>
    <w:pPr>
      <w:widowControl/>
      <w:numPr>
        <w:ilvl w:val="2"/>
        <w:numId w:val="1"/>
      </w:numPr>
      <w:wordWrap w:val="0"/>
      <w:overflowPunct w:val="0"/>
      <w:autoSpaceDE w:val="0"/>
      <w:autoSpaceDN w:val="0"/>
      <w:textAlignment w:val="baseline"/>
      <w:outlineLvl w:val="2"/>
    </w:pPr>
    <w:rPr>
      <w:rFonts w:ascii="宋体" w:hAnsi="Times New Roman" w:eastAsia="宋体" w:cs="Times New Roman"/>
      <w:kern w:val="21"/>
      <w:szCs w:val="21"/>
    </w:rPr>
  </w:style>
  <w:style w:type="paragraph" w:customStyle="1" w:styleId="1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16">
    <w:name w:val="列项——（一级）"/>
    <w:qFormat/>
    <w:uiPriority w:val="0"/>
    <w:pPr>
      <w:widowControl w:val="0"/>
      <w:numPr>
        <w:ilvl w:val="0"/>
        <w:numId w:val="2"/>
      </w:numPr>
      <w:tabs>
        <w:tab w:val="left" w:pos="1455"/>
      </w:tabs>
      <w:jc w:val="both"/>
    </w:pPr>
    <w:rPr>
      <w:rFonts w:ascii="宋体" w:hAnsi="Times New Roman" w:eastAsia="宋体" w:cs="Times New Roman"/>
      <w:kern w:val="0"/>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473</Words>
  <Characters>2700</Characters>
  <Lines>22</Lines>
  <Paragraphs>6</Paragraphs>
  <TotalTime>393</TotalTime>
  <ScaleCrop>false</ScaleCrop>
  <LinksUpToDate>false</LinksUpToDate>
  <CharactersWithSpaces>3167</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2017-03-14T11:50:00Z</dcterms:created>
  <dc:creator>PAD--刘玉</dc:creator>
  <cp:lastModifiedBy>一心报国</cp:lastModifiedBy>
  <cp:lastPrinted>2018-08-24T16:20:00Z</cp:lastPrinted>
  <dcterms:modified xsi:type="dcterms:W3CDTF">2020-11-25T07:59:23Z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